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cs="Times New Roman"/>
          <w:b/>
          <w:b/>
          <w:bCs/>
          <w:color w:val="2E74B5" w:themeColor="accent1" w:themeShade="bf"/>
          <w:sz w:val="28"/>
          <w:szCs w:val="28"/>
        </w:rPr>
      </w:pPr>
      <w:r>
        <w:rPr>
          <w:rFonts w:cs="Times New Roman"/>
          <w:b/>
          <w:bCs/>
          <w:color w:val="2E74B5" w:themeColor="accent1" w:themeShade="bf"/>
          <w:sz w:val="28"/>
          <w:szCs w:val="28"/>
        </w:rPr>
        <w:t>INTRODUCCIÓN A LA CATALOGACIÓN DE COLECCIONES ASIATICAS</w:t>
      </w:r>
    </w:p>
    <w:p>
      <w:pPr>
        <w:pStyle w:val="Normal"/>
        <w:spacing w:lineRule="auto" w:line="360"/>
        <w:jc w:val="center"/>
        <w:rPr>
          <w:rFonts w:cs="Times New Roman"/>
          <w:b/>
          <w:b/>
          <w:bCs/>
          <w:color w:val="2E74B5" w:themeColor="accent1" w:themeShade="bf"/>
        </w:rPr>
      </w:pPr>
      <w:r>
        <w:rPr>
          <w:rFonts w:cs="Times New Roman"/>
          <w:b/>
          <w:bCs/>
          <w:color w:val="2E74B5" w:themeColor="accent1" w:themeShade="bf"/>
        </w:rPr>
      </w:r>
    </w:p>
    <w:tbl>
      <w:tblPr>
        <w:tblStyle w:val="TableGrid"/>
        <w:tblW w:w="772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37"/>
        <w:gridCol w:w="2615"/>
        <w:gridCol w:w="2675"/>
      </w:tblGrid>
      <w:tr>
        <w:trPr/>
        <w:tc>
          <w:tcPr>
            <w:tcW w:w="24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pacing w:lineRule="auto" w:line="36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Calibri" w:cs="" w:cstheme="minorBidi" w:eastAsiaTheme="minorHAnsi" w:ascii="Calibri" w:hAnsi="Calibri"/>
                <w:sz w:val="22"/>
                <w:szCs w:val="22"/>
                <w:lang w:eastAsia="en-US"/>
              </w:rPr>
              <w:drawing>
                <wp:inline distT="0" distB="5715" distL="0" distR="0">
                  <wp:extent cx="845820" cy="1690370"/>
                  <wp:effectExtent l="0" t="0" r="0" b="0"/>
                  <wp:docPr id="1" name="Imagen 3" descr="https://www.madrid.es/UnidadesDescentralizadas/UDCMedios/noticias/2009/02Febrero/27Viernes/NotasdePrensa/oreintandomniradas/ficheros/pw_OrientandoMirada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3" descr="https://www.madrid.es/UnidadesDescentralizadas/UDCMedios/noticias/2009/02Febrero/27Viernes/NotasdePrensa/oreintandomniradas/ficheros/pw_OrientandoMirada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69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pacing w:lineRule="auto" w:line="36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Calibri" w:cs="" w:cstheme="minorBidi" w:eastAsiaTheme="minorHAnsi" w:ascii="Calibri" w:hAnsi="Calibri"/>
                <w:sz w:val="22"/>
                <w:szCs w:val="22"/>
                <w:lang w:eastAsia="en-US"/>
              </w:rPr>
              <w:drawing>
                <wp:inline distT="0" distB="0" distL="0" distR="0">
                  <wp:extent cx="1125855" cy="1685290"/>
                  <wp:effectExtent l="0" t="0" r="0" b="0"/>
                  <wp:docPr id="2" name="Imagen 1" descr="https://www.madrid.es/UnidadesDescentralizadas/UDCMedios/noticias/2009/02Febrero/27Viernes/NotasdePrensa/oreintandomniradas/ficheros/pw_OrientandoMirad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https://www.madrid.es/UnidadesDescentralizadas/UDCMedios/noticias/2009/02Febrero/27Viernes/NotasdePrensa/oreintandomniradas/ficheros/pw_OrientandoMirad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68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pacing w:lineRule="auto" w:line="36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Calibri" w:cs="" w:cstheme="minorBidi" w:eastAsiaTheme="minorHAnsi" w:ascii="Calibri" w:hAnsi="Calibri"/>
                <w:sz w:val="22"/>
                <w:szCs w:val="22"/>
                <w:lang w:eastAsia="en-US"/>
              </w:rPr>
              <w:drawing>
                <wp:inline distT="0" distB="8255" distL="0" distR="0">
                  <wp:extent cx="1376680" cy="1649730"/>
                  <wp:effectExtent l="0" t="0" r="0" b="0"/>
                  <wp:docPr id="3" name="Imagen 16" descr="Resultado de imagen de arte core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6" descr="Resultado de imagen de arte core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164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pacing w:lineRule="auto" w:line="36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Calibri" w:cs="" w:cstheme="minorBidi" w:eastAsiaTheme="minorHAnsi" w:ascii="Calibri" w:hAnsi="Calibri"/>
                <w:sz w:val="22"/>
                <w:szCs w:val="22"/>
                <w:lang w:eastAsia="en-US"/>
              </w:rPr>
              <w:drawing>
                <wp:inline distT="0" distB="0" distL="0" distR="1905">
                  <wp:extent cx="1351280" cy="1314450"/>
                  <wp:effectExtent l="0" t="0" r="0" b="0"/>
                  <wp:docPr id="4" name="Imagen 5" descr="http://www.museodezaragoza.es/wp-content/uploads/2012/10/plato-de-porcelana_china_dinastia_m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5" descr="http://www.museodezaragoza.es/wp-content/uploads/2012/10/plato-de-porcelana_china_dinastia_m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pacing w:lineRule="auto" w:line="36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Calibri" w:cs="" w:cstheme="minorBidi" w:eastAsiaTheme="minorHAnsi" w:ascii="Calibri" w:hAnsi="Calibri"/>
                <w:sz w:val="22"/>
                <w:szCs w:val="22"/>
                <w:lang w:eastAsia="en-US"/>
              </w:rPr>
              <w:drawing>
                <wp:inline distT="0" distB="0" distL="0" distR="0">
                  <wp:extent cx="1524635" cy="1362075"/>
                  <wp:effectExtent l="0" t="0" r="0" b="0"/>
                  <wp:docPr id="5" name="Imagen 18" descr="geishas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18" descr="geishas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3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/>
              <w:spacing w:lineRule="auto" w:line="36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Calibri" w:cs="" w:cstheme="minorBidi" w:eastAsiaTheme="minorHAnsi" w:ascii="Calibri" w:hAnsi="Calibri"/>
                <w:sz w:val="22"/>
                <w:szCs w:val="22"/>
                <w:lang w:eastAsia="en-US"/>
              </w:rPr>
              <w:drawing>
                <wp:inline distT="0" distB="9525" distL="0" distR="9525">
                  <wp:extent cx="1419225" cy="1419225"/>
                  <wp:effectExtent l="0" t="0" r="0" b="0"/>
                  <wp:docPr id="6" name="Imagen 12" descr="Resultado de imagen de katana espaÃ±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12" descr="Resultado de imagen de katana espaÃ±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360"/>
        <w:jc w:val="center"/>
        <w:rPr>
          <w:rFonts w:cs="Times New Roman"/>
          <w:b/>
          <w:b/>
          <w:bCs/>
          <w:color w:val="2E74B5" w:themeColor="accent1" w:themeShade="bf"/>
        </w:rPr>
      </w:pPr>
      <w:r>
        <w:rPr>
          <w:rFonts w:cs="Times New Roman"/>
          <w:b/>
          <w:bCs/>
          <w:color w:val="2E74B5" w:themeColor="accent1" w:themeShade="bf"/>
        </w:rPr>
      </w:r>
    </w:p>
    <w:p>
      <w:pPr>
        <w:pStyle w:val="Normal"/>
        <w:spacing w:lineRule="auto" w:line="360"/>
        <w:jc w:val="both"/>
        <w:rPr>
          <w:rFonts w:cs="Times New Roman"/>
          <w:color w:val="2E74B5" w:themeColor="accent1" w:themeShade="bf"/>
        </w:rPr>
      </w:pPr>
      <w:r>
        <w:rPr>
          <w:rFonts w:cs="Times New Roman"/>
          <w:b/>
          <w:bCs/>
          <w:color w:val="2E74B5" w:themeColor="accent1" w:themeShade="bf"/>
        </w:rPr>
        <w:t xml:space="preserve">TALLER: </w:t>
      </w:r>
      <w:r>
        <w:rPr>
          <w:rFonts w:cs="Times New Roman"/>
          <w:color w:val="2E74B5" w:themeColor="accent1" w:themeShade="bf"/>
        </w:rPr>
        <w:t>Dirigido a alumnos de la asignatura “Arte de Asia Oriental” para iniciarse en la práctica de catalogación de colecciones asiáticas, así como futuros investigadores y opositores a museos.</w:t>
      </w:r>
    </w:p>
    <w:p>
      <w:pPr>
        <w:pStyle w:val="Normal"/>
        <w:spacing w:lineRule="auto" w:line="360"/>
        <w:jc w:val="both"/>
        <w:rPr>
          <w:rFonts w:cs="Times New Roman"/>
          <w:color w:val="2E74B5" w:themeColor="accent1" w:themeShade="bf"/>
        </w:rPr>
      </w:pPr>
      <w:r>
        <w:rPr>
          <w:rFonts w:cs="Times New Roman"/>
          <w:b/>
          <w:color w:val="2E74B5" w:themeColor="accent1" w:themeShade="bf"/>
        </w:rPr>
        <w:t xml:space="preserve">IMPARTEN: </w:t>
      </w:r>
      <w:r>
        <w:rPr>
          <w:rFonts w:cs="Times New Roman"/>
          <w:color w:val="2E74B5" w:themeColor="accent1" w:themeShade="bf"/>
        </w:rPr>
        <w:t>Dra. Matilde Rosa Arias Estévez y Dr. Marcos Andrés Sala Ivars. Doctores en Historia del Arte, Colaboradores Honoríficos del Departamento de Historia del Arte de la UCM. Grupo de Investigación Asia (GIA)</w:t>
      </w:r>
    </w:p>
    <w:p>
      <w:pPr>
        <w:pStyle w:val="Normal"/>
        <w:spacing w:lineRule="auto" w:line="360"/>
        <w:jc w:val="both"/>
        <w:rPr>
          <w:rFonts w:cs="Times New Roman"/>
          <w:color w:val="2E74B5" w:themeColor="accent1" w:themeShade="bf"/>
        </w:rPr>
      </w:pPr>
      <w:r>
        <w:rPr>
          <w:rFonts w:cs="Times New Roman"/>
          <w:b/>
          <w:bCs/>
          <w:color w:val="2E74B5" w:themeColor="accent1" w:themeShade="bf"/>
        </w:rPr>
        <w:t>Nº DE ALUMNOS</w:t>
      </w:r>
      <w:r>
        <w:rPr>
          <w:rFonts w:cs="Times New Roman"/>
          <w:color w:val="2E74B5" w:themeColor="accent1" w:themeShade="bf"/>
        </w:rPr>
        <w:t>: 20-40 personas</w:t>
      </w:r>
    </w:p>
    <w:p>
      <w:pPr>
        <w:pStyle w:val="Normal"/>
        <w:spacing w:lineRule="auto" w:line="360"/>
        <w:jc w:val="both"/>
        <w:rPr>
          <w:rFonts w:cs="Times New Roman"/>
          <w:color w:val="2E74B5" w:themeColor="accent1" w:themeShade="bf"/>
        </w:rPr>
      </w:pPr>
      <w:r>
        <w:rPr>
          <w:rFonts w:cs="Times New Roman"/>
          <w:b/>
          <w:bCs/>
          <w:color w:val="2E74B5" w:themeColor="accent1" w:themeShade="bf"/>
        </w:rPr>
        <w:t xml:space="preserve">SESIONES: </w:t>
      </w:r>
      <w:r>
        <w:rPr>
          <w:rFonts w:cs="Times New Roman"/>
          <w:color w:val="2E74B5" w:themeColor="accent1" w:themeShade="bf"/>
        </w:rPr>
        <w:t xml:space="preserve">1 </w:t>
      </w:r>
    </w:p>
    <w:p>
      <w:pPr>
        <w:pStyle w:val="Normal"/>
        <w:spacing w:lineRule="auto" w:line="360"/>
        <w:jc w:val="both"/>
        <w:rPr>
          <w:rFonts w:cs="Times New Roman"/>
          <w:b/>
          <w:b/>
          <w:bCs/>
          <w:color w:val="2E74B5" w:themeColor="accent1" w:themeShade="bf"/>
        </w:rPr>
      </w:pPr>
      <w:r>
        <w:rPr>
          <w:rFonts w:cs="Times New Roman"/>
          <w:b/>
          <w:bCs/>
          <w:color w:val="2E74B5" w:themeColor="accent1" w:themeShade="bf"/>
        </w:rPr>
        <w:t xml:space="preserve">DIA: </w:t>
      </w:r>
      <w:r>
        <w:rPr>
          <w:rFonts w:cs="Times New Roman"/>
          <w:bCs/>
          <w:color w:val="2E74B5" w:themeColor="accent1" w:themeShade="bf"/>
        </w:rPr>
        <w:t>28 de noviembre de 2019.</w:t>
      </w:r>
    </w:p>
    <w:p>
      <w:pPr>
        <w:pStyle w:val="Normal"/>
        <w:spacing w:lineRule="auto" w:line="360"/>
        <w:jc w:val="both"/>
        <w:rPr>
          <w:rFonts w:cs="Times New Roman"/>
          <w:b/>
          <w:b/>
          <w:bCs/>
          <w:color w:val="2E74B5" w:themeColor="accent1" w:themeShade="bf"/>
        </w:rPr>
      </w:pPr>
      <w:r>
        <w:rPr>
          <w:rFonts w:cs="Times New Roman"/>
          <w:b/>
          <w:bCs/>
          <w:color w:val="2E74B5" w:themeColor="accent1" w:themeShade="bf"/>
        </w:rPr>
        <w:t xml:space="preserve">HORARIO: </w:t>
      </w:r>
      <w:r>
        <w:rPr>
          <w:rFonts w:cs="Times New Roman"/>
          <w:bCs/>
          <w:color w:val="2E74B5" w:themeColor="accent1" w:themeShade="bf"/>
        </w:rPr>
        <w:t>11:30-13h</w:t>
      </w:r>
    </w:p>
    <w:p>
      <w:pPr>
        <w:pStyle w:val="Normal"/>
        <w:spacing w:lineRule="auto" w:line="360"/>
        <w:jc w:val="both"/>
        <w:rPr>
          <w:rFonts w:cs="Times New Roman"/>
          <w:b/>
          <w:b/>
          <w:bCs/>
          <w:color w:val="2E74B5" w:themeColor="accent1" w:themeShade="bf"/>
        </w:rPr>
      </w:pPr>
      <w:r>
        <w:rPr>
          <w:rFonts w:cs="Times New Roman"/>
          <w:b/>
          <w:bCs/>
          <w:color w:val="2E74B5" w:themeColor="accent1" w:themeShade="bf"/>
        </w:rPr>
        <w:t xml:space="preserve">AULA: </w:t>
      </w:r>
      <w:r>
        <w:rPr>
          <w:rFonts w:cs="Times New Roman"/>
          <w:bCs/>
          <w:color w:val="2E74B5" w:themeColor="accent1" w:themeShade="bf"/>
        </w:rPr>
        <w:t>02</w:t>
      </w:r>
    </w:p>
    <w:p>
      <w:pPr>
        <w:pStyle w:val="Normal"/>
        <w:spacing w:lineRule="auto" w:line="360"/>
        <w:jc w:val="both"/>
        <w:rPr>
          <w:rFonts w:cs="Times New Roman"/>
          <w:color w:val="2E74B5" w:themeColor="accent1" w:themeShade="bf"/>
          <w:highlight w:val="white"/>
        </w:rPr>
      </w:pPr>
      <w:r>
        <w:rPr>
          <w:rFonts w:cs="Times New Roman"/>
          <w:b/>
          <w:bCs/>
          <w:color w:val="2E74B5" w:themeColor="accent1" w:themeShade="bf"/>
        </w:rPr>
        <w:t xml:space="preserve">OBJETIVO: </w:t>
      </w:r>
      <w:r>
        <w:rPr>
          <w:rFonts w:cs="Times New Roman"/>
          <w:color w:val="2E74B5" w:themeColor="accent1" w:themeShade="bf"/>
          <w:shd w:fill="FFFFFF" w:val="clear"/>
        </w:rPr>
        <w:t xml:space="preserve">Acercar a los alumnos a la práctica de la catalogación de piezas de colecciones asiáticas, especialmente procedentes de Japón. </w:t>
      </w:r>
    </w:p>
    <w:p>
      <w:pPr>
        <w:pStyle w:val="Normal"/>
        <w:spacing w:lineRule="auto" w:line="360"/>
        <w:jc w:val="both"/>
        <w:rPr>
          <w:rFonts w:cs="Times New Roman"/>
          <w:color w:val="2E74B5" w:themeColor="accent1" w:themeShade="bf"/>
        </w:rPr>
      </w:pPr>
      <w:r>
        <w:rPr>
          <w:rFonts w:cs="Times New Roman"/>
          <w:color w:val="2E74B5" w:themeColor="accent1" w:themeShade="bf"/>
        </w:rPr>
      </w:r>
    </w:p>
    <w:p>
      <w:pPr>
        <w:pStyle w:val="Normal"/>
        <w:spacing w:lineRule="auto" w:line="360"/>
        <w:jc w:val="both"/>
        <w:rPr>
          <w:rFonts w:cs="Times New Roman"/>
          <w:color w:val="ED7D31" w:themeColor="accent2"/>
        </w:rPr>
      </w:pPr>
      <w:r>
        <w:rPr>
          <w:rFonts w:cs="Times New Roman"/>
          <w:color w:val="2E74B5" w:themeColor="accent1" w:themeShade="bf"/>
        </w:rPr>
        <w:t xml:space="preserve">Los museos españoles cuentan con un rico y variado patrimonio de colecciones de Arte Indio y de Asia Oriental que actualmente se encuentra disperso por numerosas instituciones. Esta heterogeneidad de colecciones dificulta la investigación y catalogación de las mismas, por eso la mayoría de las veces se acude a investigadores ajenos al museo para realiza estas labores precisas de catalogación. </w:t>
      </w:r>
    </w:p>
    <w:p>
      <w:pPr>
        <w:pStyle w:val="Normal"/>
        <w:spacing w:lineRule="auto" w:line="360"/>
        <w:jc w:val="both"/>
        <w:rPr>
          <w:rFonts w:cs="Times New Roman"/>
          <w:color w:val="2E74B5" w:themeColor="accent1" w:themeShade="bf"/>
        </w:rPr>
      </w:pPr>
      <w:r>
        <w:rPr>
          <w:rFonts w:cs="Times New Roman"/>
          <w:color w:val="2E74B5" w:themeColor="accent1" w:themeShade="bf"/>
        </w:rPr>
        <w:t>Se invita a participar</w:t>
      </w:r>
      <w:r>
        <w:rPr>
          <w:rFonts w:cs="Times New Roman"/>
          <w:color w:val="ED7D31" w:themeColor="accent2"/>
        </w:rPr>
        <w:t xml:space="preserve"> </w:t>
      </w:r>
      <w:r>
        <w:rPr>
          <w:rFonts w:cs="Times New Roman"/>
          <w:color w:val="2E74B5" w:themeColor="accent1" w:themeShade="bf"/>
        </w:rPr>
        <w:t xml:space="preserve">a futuros investigadores y opositores en los conocimientos técnicos de catalogación de piezas asiáticas, a través de una serie de herramientas básicas que permitirán a los alumnos aproximarse a estos objetos con mayor seguridad y conocimiento. </w:t>
      </w:r>
    </w:p>
    <w:p>
      <w:pPr>
        <w:pStyle w:val="Normal"/>
        <w:spacing w:lineRule="auto" w:line="360"/>
        <w:jc w:val="both"/>
        <w:rPr>
          <w:rFonts w:cs="Times New Roman"/>
          <w:b/>
          <w:b/>
          <w:bCs/>
          <w:color w:val="2E74B5" w:themeColor="accent1" w:themeShade="bf"/>
        </w:rPr>
      </w:pPr>
      <w:r>
        <w:rPr>
          <w:rFonts w:cs="Times New Roman"/>
          <w:b/>
          <w:bCs/>
          <w:color w:val="2E74B5" w:themeColor="accent1" w:themeShade="bf"/>
        </w:rPr>
      </w:r>
    </w:p>
    <w:p>
      <w:pPr>
        <w:pStyle w:val="Normal"/>
        <w:spacing w:lineRule="auto" w:line="360"/>
        <w:jc w:val="both"/>
        <w:rPr>
          <w:rFonts w:cs="Times New Roman"/>
          <w:b/>
          <w:b/>
          <w:bCs/>
          <w:color w:val="2E74B5" w:themeColor="accent1" w:themeShade="bf"/>
        </w:rPr>
      </w:pPr>
      <w:r>
        <w:rPr>
          <w:rFonts w:cs="Times New Roman"/>
          <w:b/>
          <w:bCs/>
          <w:color w:val="2E74B5" w:themeColor="accent1" w:themeShade="bf"/>
        </w:rPr>
      </w:r>
    </w:p>
    <w:p>
      <w:pPr>
        <w:pStyle w:val="Normal"/>
        <w:spacing w:lineRule="auto" w:line="360"/>
        <w:jc w:val="both"/>
        <w:rPr>
          <w:rFonts w:cs="Times New Roman"/>
          <w:b/>
          <w:b/>
          <w:bCs/>
          <w:color w:val="2E74B5" w:themeColor="accent1" w:themeShade="bf"/>
        </w:rPr>
      </w:pPr>
      <w:r>
        <w:rPr>
          <w:rFonts w:cs="Times New Roman"/>
          <w:b/>
          <w:bCs/>
          <w:color w:val="2E74B5" w:themeColor="accent1" w:themeShade="bf"/>
        </w:rPr>
        <w:t>OBJETIVOS: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cs="Times New Roman" w:ascii="Times New Roman" w:hAnsi="Times New Roman"/>
          <w:color w:val="2E74B5" w:themeColor="accent1" w:themeShade="bf"/>
          <w:sz w:val="24"/>
          <w:szCs w:val="24"/>
        </w:rPr>
        <w:t>Introducir a los participantes en los procedimientos documentales para la gestión de colecciones en Museos Estatales. Normas de descripción según el programa museográfico DOMUS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cs="Times New Roman" w:ascii="Times New Roman" w:hAnsi="Times New Roman"/>
          <w:color w:val="2E74B5" w:themeColor="accent1" w:themeShade="bf"/>
          <w:sz w:val="24"/>
          <w:szCs w:val="24"/>
        </w:rPr>
        <w:t>Dar a conocer la tipología de colecciones asiáticas en museos españoles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cs="Times New Roman" w:ascii="Times New Roman" w:hAnsi="Times New Roman"/>
          <w:color w:val="2E74B5" w:themeColor="accent1" w:themeShade="bf"/>
          <w:sz w:val="24"/>
          <w:szCs w:val="24"/>
        </w:rPr>
        <w:t>Ofrecer conocimientos de catalogación sobre: materiales, medidas, técnicas, evolución, tipología.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cs="Times New Roman" w:ascii="Times New Roman" w:hAnsi="Times New Roman"/>
          <w:color w:val="2E74B5" w:themeColor="accent1" w:themeShade="bf"/>
          <w:sz w:val="24"/>
          <w:szCs w:val="24"/>
        </w:rPr>
        <w:t xml:space="preserve">Facilitar bibliografía, catálogos, archivos y herramientas digitales para búsqueda de información.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cs="Times New Roman" w:ascii="Times New Roman" w:hAnsi="Times New Roman"/>
          <w:color w:val="2E74B5" w:themeColor="accent1" w:themeShade="bf"/>
          <w:sz w:val="24"/>
          <w:szCs w:val="24"/>
        </w:rPr>
        <w:t>Practicar a través de una selección de piezas asiáticas escaneadas en alta resolución y en color, o reales, el alumno tendrá que catalogar siguiendo la sistemática aprendida.</w:t>
      </w:r>
    </w:p>
    <w:p>
      <w:pPr>
        <w:pStyle w:val="Standard"/>
        <w:spacing w:lineRule="auto" w:line="360"/>
        <w:jc w:val="both"/>
        <w:rPr>
          <w:rFonts w:cs="Times New Roman"/>
          <w:shd w:fill="FFFFFF" w:val="clear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cs="Times New Roman"/>
          <w:b/>
          <w:shd w:fill="FFFFFF" w:val="clear"/>
        </w:rPr>
        <w:t>Memoria</w:t>
      </w:r>
      <w:r>
        <w:rPr>
          <w:rFonts w:cs="Times New Roman"/>
          <w:b/>
          <w:shd w:fill="FFFFFF" w:val="clear"/>
        </w:rPr>
        <w:t xml:space="preserve"> una vez realizado el seminario: </w:t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bookmarkStart w:id="0" w:name="__DdeLink__124_4271435880"/>
      <w:bookmarkEnd w:id="0"/>
      <w:r>
        <w:rPr>
          <w:rFonts w:cs="Times New Roman"/>
          <w:shd w:fill="FFFFFF" w:val="clear"/>
        </w:rPr>
        <w:t xml:space="preserve">El pasado día 28 de noviembre de 2019, los doctores en Historia del Arte Matilde Rosa Arias Estévez y Marcos Andrés Sala Ivars, Colaboradores Honoríficos del Departamento de Historia del Arte de la Universidad Complutense de Madrid, impartieron el seminario: Catalogación de Arte de Asia Oriental, en el aula 02 de la Facultad de Geografía e Historia de la Universidad Complutense de Madrid. </w:t>
      </w:r>
    </w:p>
    <w:p>
      <w:pPr>
        <w:pStyle w:val="Standard"/>
        <w:spacing w:lineRule="auto" w:line="360"/>
        <w:jc w:val="both"/>
        <w:rPr>
          <w:rFonts w:cs="Times New Roman"/>
          <w:shd w:fill="FFFFFF" w:val="clear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cs="Times New Roman"/>
          <w:shd w:fill="FFFFFF" w:val="clear"/>
        </w:rPr>
        <w:t>Los asistentes fueron principalmente alumnos de la asignatura Arte de Asia Oriental impartida por la Dra. Pilar Cabañas Moreno, profesora titular de la Universidad Complutense de Madrid y directora de la Asociación Española de Estudios Japoneses (AEJE) y del Grupo de Investigación Asia (GIA).</w:t>
      </w:r>
    </w:p>
    <w:p>
      <w:pPr>
        <w:pStyle w:val="Standard"/>
        <w:spacing w:lineRule="auto" w:line="360"/>
        <w:jc w:val="both"/>
        <w:rPr>
          <w:rFonts w:cs="Times New Roman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shd w:fill="FFFFFF" w:val="clear"/>
        </w:rPr>
      </w:pPr>
      <w:r>
        <w:rPr>
          <w:rFonts w:cs="Times New Roman"/>
          <w:shd w:fill="FFFFFF" w:val="clear"/>
        </w:rPr>
        <w:t>Tras la presentación de ambos ponentes, se procedió a iniciar la presentación de la función de un investigador-catalogador, ofreciendo nociones básicas sobre el desempeño de esta tarea así como consejos prácticos a la hora de catalogar colecciones públicas o privadas.</w:t>
      </w:r>
    </w:p>
    <w:p>
      <w:pPr>
        <w:pStyle w:val="Standard"/>
        <w:spacing w:lineRule="auto" w:line="360"/>
        <w:jc w:val="center"/>
        <w:rPr/>
      </w:pPr>
      <w:bookmarkStart w:id="1" w:name="_GoBack"/>
      <w:r>
        <w:rPr/>
        <w:drawing>
          <wp:inline distT="0" distB="0" distL="0" distR="0">
            <wp:extent cx="4671060" cy="2859405"/>
            <wp:effectExtent l="0" t="0" r="0" b="0"/>
            <wp:docPr id="7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0" t="18391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rFonts w:cs="Times New Roman"/>
        </w:rPr>
        <w:br/>
      </w:r>
      <w:r>
        <w:rPr>
          <w:rFonts w:cs="Times New Roman"/>
          <w:b/>
          <w:sz w:val="20"/>
          <w:szCs w:val="20"/>
        </w:rPr>
        <w:t>La Dra. Matilde Arias durante la presentación del seminario.</w:t>
      </w:r>
    </w:p>
    <w:p>
      <w:pPr>
        <w:pStyle w:val="Standard"/>
        <w:spacing w:lineRule="auto" w:line="360"/>
        <w:jc w:val="both"/>
        <w:rPr>
          <w:rFonts w:cs="Times New Roman"/>
          <w:shd w:fill="FFFFFF" w:val="clear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cs="Times New Roman"/>
          <w:shd w:fill="FFFFFF" w:val="clear"/>
        </w:rPr>
        <w:t xml:space="preserve">El siguiente paso fue analizar uno por uno, los apartados que configura una ficha tipo DOMUS de catalogación. En cada uno de los apartados: tipología, nombre, medidas, firmas, inscripciones... aportábamos ejemplos didácticos aplicables a obras de arte asiático. En este punto del taller, introdujimos al alumnado </w:t>
      </w:r>
      <w:r>
        <w:rPr>
          <w:rFonts w:cs="Times New Roman"/>
          <w:shd w:fill="FFFFFF" w:val="clear"/>
        </w:rPr>
        <w:t>algunas</w:t>
      </w:r>
      <w:r>
        <w:rPr>
          <w:rFonts w:cs="Times New Roman"/>
          <w:shd w:fill="FFFFFF" w:val="clear"/>
        </w:rPr>
        <w:t xml:space="preserve"> de las directrices básicas a la hora de dirigirnos a un museo o institución para poder llevar a cabo un estudio y catalogación de sus piezas.</w:t>
      </w:r>
    </w:p>
    <w:p>
      <w:pPr>
        <w:pStyle w:val="Standard"/>
        <w:spacing w:lineRule="auto" w:line="360"/>
        <w:jc w:val="both"/>
        <w:rPr>
          <w:rFonts w:cs="Times New Roman"/>
          <w:shd w:fill="FFFFFF" w:val="clear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cs="Times New Roman"/>
          <w:shd w:fill="FFFFFF" w:val="clear"/>
        </w:rPr>
        <w:t xml:space="preserve">La sesión fue dinámica y en varias ocasiones los alumnos participaron con preguntas referidas al tema del seminario, con especial hincapié en aquellas explicaciones que podíamos ofrecer como investigadores que han </w:t>
      </w:r>
      <w:r>
        <w:rPr>
          <w:rFonts w:cs="Times New Roman"/>
          <w:shd w:fill="FFFFFF" w:val="clear"/>
        </w:rPr>
        <w:t>realizado</w:t>
      </w:r>
      <w:r>
        <w:rPr>
          <w:rFonts w:cs="Times New Roman"/>
          <w:shd w:fill="FFFFFF" w:val="clear"/>
        </w:rPr>
        <w:t xml:space="preserve"> numerosas catalogaciones.</w:t>
      </w:r>
    </w:p>
    <w:p>
      <w:pPr>
        <w:pStyle w:val="Standard"/>
        <w:spacing w:lineRule="auto" w:line="360"/>
        <w:jc w:val="both"/>
        <w:rPr/>
      </w:pPr>
      <w:r>
        <w:rPr>
          <w:rFonts w:cs="Times New Roman"/>
        </w:rPr>
        <w:br/>
      </w:r>
      <w:r>
        <w:rPr>
          <w:rFonts w:cs="Times New Roman"/>
          <w:shd w:fill="FFFFFF" w:val="clear"/>
        </w:rPr>
        <w:t xml:space="preserve">Una vez dimos por concluida la sesión teórica llevada a cabo con el soporte de un </w:t>
      </w:r>
      <w:r>
        <w:rPr>
          <w:rFonts w:cs="Times New Roman"/>
          <w:i/>
          <w:iCs/>
          <w:shd w:fill="FFFFFF" w:val="clear"/>
        </w:rPr>
        <w:t>Power Point</w:t>
      </w:r>
      <w:r>
        <w:rPr>
          <w:rFonts w:cs="Times New Roman"/>
          <w:shd w:fill="FFFFFF" w:val="clear"/>
        </w:rPr>
        <w:t xml:space="preserve">, dimos comienzo a la sesión práctica del seminario. El primer paso fue mostrar a los alumnos una serie de piezas de arte asiático, </w:t>
      </w:r>
      <w:r>
        <w:rPr>
          <w:rFonts w:cs="Times New Roman"/>
          <w:shd w:fill="FFFFFF" w:val="clear"/>
        </w:rPr>
        <w:t xml:space="preserve">la mayoría de ellas japonesas del periodo Edo (1603-1968), </w:t>
      </w:r>
      <w:r>
        <w:rPr>
          <w:rFonts w:cs="Times New Roman"/>
          <w:shd w:fill="FFFFFF" w:val="clear"/>
        </w:rPr>
        <w:t xml:space="preserve">que habíamos llevado al aula para la ocasión. Seguidamente procedimos a presentar las herramientas que utilizarían en el proceso de catalogación: herramientas de medición, guantes, herramientas de pesaje, lupas, etc. </w:t>
      </w:r>
    </w:p>
    <w:p>
      <w:pPr>
        <w:pStyle w:val="Standard"/>
        <w:spacing w:lineRule="auto" w:line="360"/>
        <w:jc w:val="both"/>
        <w:rPr>
          <w:rFonts w:cs="Times New Roman"/>
          <w:shd w:fill="FFFFFF" w:val="clear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cs="Times New Roman"/>
          <w:shd w:fill="FFFFFF" w:val="clear"/>
        </w:rPr>
        <w:t xml:space="preserve">A partir de aquí, la Dra. Matilde Arias y el Dr. Marcos Sala animaron a los alumnos a que tomaran alguna de las piezas y, mediante un modelo básico de ficha DOMUS, realizaran una catalogación de la obra seleccionada. Entre las piezas que pudieron escoger los alumnos teníamos: Piezas en metal: dos </w:t>
      </w:r>
      <w:r>
        <w:rPr>
          <w:rFonts w:cs="Times New Roman"/>
          <w:i/>
          <w:iCs/>
          <w:shd w:fill="FFFFFF" w:val="clear"/>
        </w:rPr>
        <w:t>tsuba</w:t>
      </w:r>
      <w:r>
        <w:rPr>
          <w:rFonts w:cs="Times New Roman"/>
          <w:shd w:fill="FFFFFF" w:val="clear"/>
        </w:rPr>
        <w:t xml:space="preserve"> (guardas de sable japonés). Piezas en cerámica: dos </w:t>
      </w:r>
      <w:r>
        <w:rPr>
          <w:rFonts w:cs="Times New Roman"/>
          <w:i/>
          <w:iCs/>
          <w:shd w:fill="FFFFFF" w:val="clear"/>
        </w:rPr>
        <w:t xml:space="preserve">sobazuke </w:t>
      </w:r>
      <w:r>
        <w:rPr>
          <w:rFonts w:cs="Times New Roman"/>
          <w:shd w:fill="FFFFFF" w:val="clear"/>
        </w:rPr>
        <w:t xml:space="preserve">(cuencos para salsa de soja para fideos </w:t>
      </w:r>
      <w:r>
        <w:rPr>
          <w:rFonts w:cs="Times New Roman"/>
          <w:i/>
          <w:iCs/>
          <w:shd w:fill="FFFFFF" w:val="clear"/>
        </w:rPr>
        <w:t>soba</w:t>
      </w:r>
      <w:r>
        <w:rPr>
          <w:rFonts w:cs="Times New Roman"/>
          <w:shd w:fill="FFFFFF" w:val="clear"/>
        </w:rPr>
        <w:t xml:space="preserve">), dos platos y un </w:t>
      </w:r>
      <w:r>
        <w:rPr>
          <w:rFonts w:cs="Times New Roman"/>
          <w:i/>
          <w:iCs/>
          <w:shd w:fill="FFFFFF" w:val="clear"/>
        </w:rPr>
        <w:t xml:space="preserve">chawan </w:t>
      </w:r>
      <w:r>
        <w:rPr>
          <w:rFonts w:cs="Times New Roman"/>
          <w:shd w:fill="FFFFFF" w:val="clear"/>
        </w:rPr>
        <w:t xml:space="preserve">(cuenco para el té). Piezas en madera: </w:t>
      </w:r>
      <w:r>
        <w:rPr>
          <w:rFonts w:cs="Times New Roman"/>
          <w:i/>
          <w:iCs/>
          <w:shd w:fill="FFFFFF" w:val="clear"/>
        </w:rPr>
        <w:t xml:space="preserve">netsuke </w:t>
      </w:r>
      <w:r>
        <w:rPr>
          <w:rFonts w:cs="Times New Roman"/>
          <w:shd w:fill="FFFFFF" w:val="clear"/>
        </w:rPr>
        <w:t xml:space="preserve">y conjunto de </w:t>
      </w:r>
      <w:r>
        <w:rPr>
          <w:rFonts w:cs="Times New Roman"/>
          <w:i/>
          <w:iCs/>
          <w:shd w:fill="FFFFFF" w:val="clear"/>
        </w:rPr>
        <w:t xml:space="preserve">netsuke, inrô </w:t>
      </w:r>
      <w:r>
        <w:rPr>
          <w:rFonts w:cs="Times New Roman"/>
          <w:shd w:fill="FFFFFF" w:val="clear"/>
        </w:rPr>
        <w:t xml:space="preserve">y </w:t>
      </w:r>
      <w:r>
        <w:rPr>
          <w:rFonts w:cs="Times New Roman"/>
          <w:i/>
          <w:iCs/>
          <w:shd w:fill="FFFFFF" w:val="clear"/>
        </w:rPr>
        <w:t>ojime</w:t>
      </w:r>
      <w:r>
        <w:rPr>
          <w:rFonts w:cs="Times New Roman"/>
          <w:shd w:fill="FFFFFF" w:val="clear"/>
        </w:rPr>
        <w:t xml:space="preserve"> (pequeños recipientes de medicamentos o estuches de ellos de madera lacada). Piezas en papel: una estampa japonesa o </w:t>
      </w:r>
      <w:r>
        <w:rPr>
          <w:rFonts w:cs="Times New Roman"/>
          <w:i/>
          <w:iCs/>
          <w:shd w:fill="FFFFFF" w:val="clear"/>
        </w:rPr>
        <w:t>ukiyo-e</w:t>
      </w:r>
      <w:r>
        <w:rPr>
          <w:rFonts w:cs="Times New Roman"/>
          <w:shd w:fill="FFFFFF" w:val="clear"/>
        </w:rPr>
        <w:t xml:space="preserve"> y un </w:t>
      </w:r>
      <w:r>
        <w:rPr>
          <w:rFonts w:cs="Times New Roman"/>
          <w:i/>
          <w:iCs/>
          <w:shd w:fill="FFFFFF" w:val="clear"/>
        </w:rPr>
        <w:t xml:space="preserve">daruma, </w:t>
      </w:r>
      <w:r>
        <w:rPr>
          <w:rFonts w:cs="Times New Roman"/>
          <w:shd w:fill="FFFFFF" w:val="clear"/>
        </w:rPr>
        <w:t>siendo todas las piezas del periodo Edo (1603-1868).</w:t>
      </w:r>
    </w:p>
    <w:p>
      <w:pPr>
        <w:pStyle w:val="Standard"/>
        <w:spacing w:lineRule="auto" w:line="360"/>
        <w:jc w:val="both"/>
        <w:rPr>
          <w:rFonts w:cs="Times New Roman"/>
          <w:shd w:fill="FFFFFF" w:val="clear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/>
        <w:drawing>
          <wp:inline distT="0" distB="635" distL="0" distR="0">
            <wp:extent cx="3203575" cy="3524250"/>
            <wp:effectExtent l="0" t="0" r="0" b="0"/>
            <wp:docPr id="8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hd w:fill="FFFFFF" w:val="clear"/>
        </w:rPr>
        <w:t xml:space="preserve"> </w:t>
      </w:r>
      <w:r>
        <w:rPr>
          <w:rFonts w:cs="Times New Roman"/>
          <w:shd w:fill="FFFFFF" w:val="clear"/>
        </w:rPr>
        <w:drawing>
          <wp:inline distT="0" distB="0" distL="0" distR="0">
            <wp:extent cx="2521585" cy="3513455"/>
            <wp:effectExtent l="0" t="0" r="0" b="0"/>
            <wp:docPr id="9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8465" t="4364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spacing w:lineRule="auto" w:line="360"/>
        <w:jc w:val="center"/>
        <w:rPr>
          <w:rFonts w:cs="Times New Roman"/>
          <w:b/>
          <w:b/>
          <w:sz w:val="20"/>
          <w:szCs w:val="20"/>
          <w:highlight w:val="white"/>
        </w:rPr>
      </w:pPr>
      <w:r>
        <w:rPr>
          <w:rFonts w:cs="Times New Roman"/>
          <w:b/>
          <w:sz w:val="20"/>
          <w:szCs w:val="20"/>
          <w:shd w:fill="FFFFFF" w:val="clear"/>
        </w:rPr>
        <w:t>Los doctores Matilde Arias y Marcos Sala impartiendo el seminario. A la derecha: piezas del periodo Edo e instrumentos para que los alumnos lleven a cabo una práctica de catalogación.</w:t>
      </w:r>
    </w:p>
    <w:p>
      <w:pPr>
        <w:pStyle w:val="Standard"/>
        <w:spacing w:lineRule="auto" w:line="360"/>
        <w:jc w:val="both"/>
        <w:rPr>
          <w:rFonts w:cs="Times New Roman"/>
          <w:shd w:fill="FFFFFF" w:val="clear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cs="Times New Roman"/>
          <w:shd w:fill="FFFFFF" w:val="clear"/>
        </w:rPr>
        <w:t>Bajo la atenta mirada de los doctores investigadores que impartían el seminario, todos los alumnos tuvieron la oportunidad de acercarse a estas obras de arte y poner en práctica los conocimientos adquiridos durante el taller.</w:t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/>
      </w:r>
    </w:p>
    <w:p>
      <w:pPr>
        <w:pStyle w:val="Standard"/>
        <w:spacing w:lineRule="auto" w:line="360"/>
        <w:jc w:val="both"/>
        <w:rPr/>
      </w:pPr>
      <w:r>
        <w:rPr>
          <w:rFonts w:cs="Times New Roman"/>
          <w:shd w:fill="FFFFFF" w:val="clear"/>
        </w:rPr>
        <w:t>La valoración final del alumnado fue muy positiva, tanto en iniciativa, interacción como en participación activa con numerosas preguntas y notas que esperamos que les sean de provecho en sus futuras carreras investigadoras.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1"/>
  <w:defaultTabStop w:val="706"/>
  <w:autoHyphenation w:val="false"/>
  <w:compat>
    <w:compatSetting w:name="compatibilityMode" w:uri="http://schemas.microsoft.com/office/word" w:val="15"/>
  </w:compat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s-E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sz w:val="24"/>
      <w:szCs w:val="24"/>
      <w:lang w:val="es-E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tulo" w:customStyle="1">
    <w:name w:val="Título"/>
    <w:basedOn w:val="Standard"/>
    <w:next w:val="Cue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extbody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auto"/>
      <w:sz w:val="24"/>
      <w:szCs w:val="24"/>
      <w:lang w:val="es-ES" w:eastAsia="ja-JP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b65c8a"/>
    <w:pPr>
      <w:widowControl/>
      <w:suppressAutoHyphens w:val="false"/>
      <w:spacing w:lineRule="auto" w:line="259" w:before="0" w:after="160"/>
      <w:ind w:left="720" w:hanging="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227a6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LibreOffice/5.3.4.2$Windows_X86_64 LibreOffice_project/f82d347ccc0be322489bf7da61d7e4ad13fe2ff3</Application>
  <Pages>4</Pages>
  <Words>862</Words>
  <Characters>4758</Characters>
  <CharactersWithSpaces>5597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2019-12-11T11:36:00Z</dcterms:created>
  <dc:creator>Marcos</dc:creator>
  <dc:description/>
  <dc:language>es-ES</dc:language>
  <cp:lastModifiedBy/>
  <dcterms:modified xsi:type="dcterms:W3CDTF">2019-12-13T19:36:52Z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